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9659fb6f7485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10313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JOSIP KOZARAC SOLJANI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1.251.040,64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884.266,19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1.178.849,78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938.895,38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54.629,19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8.812,23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14.759,38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8.812,23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14.759,38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120.636,37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79.136,37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15.757,74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69.388,57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440,3</w:t>
            </w:r>
          </w:p>
        </w:tc>
      </w:tr>
    </w:tbl>
    <w:p>
      <w:pPr>
        <w:spacing w:before="0" w:after="0"/>
      </w:pPr>
    </w:p>
    <w:p>
      <w:r>
        <w:t xml:space="preserve">OPIS FINANCIRANJA I OSNOVNI PODACI O ŠKOLI</w:t>
      </w:r>
    </w:p>
    <w:p>
      <w:r>
        <w:br/>
      </w:r>
      <w:r>
        <w:t xml:space="preserve">Škola se financira iz sljedećih izvora:</w:t>
      </w:r>
    </w:p>
    <w:p>
      <w:r>
        <w:t xml:space="preserve">Prihodi iz državnog proračuna – Ministarstvo znanosti, obrazovanja i sporta  </w:t>
      </w:r>
      <w:r>
        <w:br/>
      </w:r>
      <w:r>
        <w:t xml:space="preserve">Iz navedenog izvora financiraju se rashodi za plaće i naknade zaposlenika te naknada zbog nezapošljavanja osoba s invaliditetom. </w:t>
      </w:r>
    </w:p>
    <w:p>
      <w:r>
        <w:br/>
      </w:r>
      <w:r>
        <w:t xml:space="preserve">Prihodi iz županijskog proračuna – Vukovarsko-srijemska županija  </w:t>
      </w:r>
      <w:r>
        <w:br/>
      </w:r>
      <w:r>
        <w:t xml:space="preserve">Ovi prihodi obuhvaćaju decentralizirana sredstva (zakonski standard škole) te prihode temeljem ugovornih obveza za financiranje iznad zakonskog standarda.</w:t>
      </w:r>
    </w:p>
    <w:p>
      <w:r>
        <w:t xml:space="preserve">Vlastiti prihodi  </w:t>
      </w:r>
      <w:r>
        <w:br/>
      </w:r>
      <w:r>
        <w:t xml:space="preserve">Škola ostvaruje vlastite prihode od najma školske sportske dvorane te od prodaje starog papira.</w:t>
      </w:r>
    </w:p>
    <w:p>
      <w:r>
        <w:t xml:space="preserve">Prihodi po posebnim propisima  </w:t>
      </w:r>
      <w:r>
        <w:br/>
      </w:r>
      <w:r>
        <w:t xml:space="preserve">Ovu skupinu čine prihodi od osiguranja (refundacije štete).</w:t>
      </w:r>
    </w:p>
    <w:p>
      <w:r>
        <w:t xml:space="preserve">Pomoći iz proračuna općine – Općina Vrbanja  </w:t>
      </w:r>
      <w:r>
        <w:br/>
      </w:r>
      <w:r>
        <w:t xml:space="preserve">Iz općinskog proračuna financiraju se materijalni izdaci redovne djelatnosti osnovnog i predškolskog obrazovanja te sufinanciranje školske prehrane za učenike predškole.</w:t>
      </w:r>
    </w:p>
    <w:p>
      <w:r>
        <w:t xml:space="preserve"> </w:t>
      </w:r>
      <w:r>
        <w:br/>
      </w:r>
      <w:r>
        <w:t xml:space="preserve">Pomoći od donacija  </w:t>
      </w:r>
      <w:r>
        <w:br/>
      </w:r>
      <w:r>
        <w:t xml:space="preserve">Škola ostvaruje tekuće donacije od pravnih i fizičkih osoba te trgovačkih društava.</w:t>
      </w:r>
    </w:p>
    <w:p>
      <w:r>
        <w:t xml:space="preserve">Prihodi od projekata financiranih sredstvima Europske unije  </w:t>
      </w:r>
      <w:r>
        <w:br/>
      </w:r>
      <w:r>
        <w:t xml:space="preserve">Prihodi se ostvaruju kroz provedbu projekata financiranih iz EU fondova, sukladno odobrenim projektnim aktivnostima i proračunima.</w:t>
      </w:r>
    </w:p>
    <w:p>
      <w:r>
        <w:t xml:space="preserve">Osnovna škola Josip Kozarac Soljani djeluje na dvije lokacije: u naselju Soljani kao matična škola te u naselju Strošinci kao područna škola. Ukupno ima 9 razrednih odjela: 8 odjela u Soljanima (od 1. do 8. razreda) te 1 kombinirani odjel u Strošincima (od 1. do 4. razreda).</w:t>
      </w:r>
    </w:p>
    <w:p>
      <w:r>
        <w:t xml:space="preserve">Osnivač Škole je Vukovarsko-srijemska županija. Škola je pravna osoba samostalna u obavljanju svoje djelatnosti i poslovanju, sukladno zakonu, propisima donesenima na temelju zakona, Statutu Škole, stručnim normama i pravilima struke.</w:t>
      </w:r>
    </w:p>
    <w:p>
      <w:r>
        <w:t xml:space="preserve">Škola obavlja djelatnost osnovnog odgoja i obrazovanja koja obuhvaća opće obrazovanje te druge oblike obrazovanja djece i mladih. Djelatnost se ostvaruje na temelju nacionalnog kurikuluma, nastavnih planova i programa te školskog kurikuluma, uz osiguravanje odgovarajućeg broja učitelja i stručnih suradnika, pod uvjetima i na način propisan zakonom. Školom upravlja Školski odbor, a njegov rad pobliže se uređuje Statutom Škole, u skladu sa zakonskim propisima.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1.251.040,64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884.266,19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70,7</w:t>
            </w:r>
          </w:p>
        </w:tc>
      </w:tr>
    </w:tbl>
    <w:p>
      <w:pPr>
        <w:spacing w:before="0" w:after="0"/>
      </w:pPr>
    </w:p>
    <w:p>
      <w:r>
        <w:t xml:space="preserve">Škola je u 2025. godni ostvarila manje prihoda, razlog je završetak STEM projekta, koji je završio u 2024.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370.777,42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Škola je u 2024. godini sudjelovala u STEM projektu koji je završen te prihoda po toj osnovi nema. Škola u 2025 godini sudjeluje u projektu SHEMA VOĆA I MLIJEKA U ŠKOLAMA: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2620,4</w:t>
            </w:r>
          </w:p>
        </w:tc>
      </w:tr>
    </w:tbl>
    <w:p>
      <w:pPr>
        <w:spacing w:before="0" w:after="0"/>
      </w:pPr>
    </w:p>
    <w:p>
      <w:r>
        <w:t xml:space="preserve">Škola iznajmljuje dvoranu sukladno interesu pojednica i oragnizacija u 2025 godini taj je interes bio veći i ostavren je prihod od najma u visini 3377,42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Škola je uprihodovala 37% više sredstava donacija.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1.178.849,78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938.895,38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79,6</w:t>
            </w:r>
          </w:p>
        </w:tc>
      </w:tr>
    </w:tbl>
    <w:p>
      <w:pPr>
        <w:spacing w:before="0" w:after="0"/>
      </w:pPr>
    </w:p>
    <w:p>
      <w:r>
        <w:t xml:space="preserve">Ukupni rashodi smanjeni su u odnosu na 2024. godinu, razlog je završetak STEM projekta u 2024.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726.607,10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813.458,96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Rashodi za zaposlene povećani su sukladno povećnju osnovice za obračun plaće na državnom nivou.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5,1</w:t>
            </w:r>
          </w:p>
        </w:tc>
      </w:tr>
    </w:tbl>
    <w:p>
      <w:pPr>
        <w:spacing w:before="0" w:after="0"/>
      </w:pPr>
    </w:p>
    <w:p>
      <w:r>
        <w:t xml:space="preserve">Škola je ugasila transakciji račun u PBZ banci i posluje preko županijske riznice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293.486,52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Škola je završila sa STEM projektom u 2024 godini te nema transfera u 2025. godini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70.859,28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2537,9</w:t>
            </w:r>
          </w:p>
        </w:tc>
      </w:tr>
    </w:tbl>
    <w:p>
      <w:pPr>
        <w:spacing w:before="0" w:after="0"/>
      </w:pPr>
    </w:p>
    <w:p>
      <w:r>
        <w:t xml:space="preserve">Iznos iskazan na kontu rezulatat je promjene računovodstvenih politika i ukidanja kona skupine 19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obaveza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87.582,06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obaveza odnosi se na obaveze za isplatu plaće za 12/2025 godinu te rashode za mjesec prosinac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je sudjelovala u projektu SHEMA VOĆA I MLIJEKA U ŠKOLAMA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e8456e405848b8" /></Relationships>
</file>